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4E28F4" w14:textId="1D58002B" w:rsidR="00E80AEA" w:rsidRPr="00E80AEA" w:rsidRDefault="00E80AEA" w:rsidP="00E80AEA">
      <w:pPr>
        <w:rPr>
          <w:rFonts w:eastAsia="Times New Roman"/>
          <w:lang w:eastAsia="en-GB"/>
        </w:rPr>
      </w:pPr>
      <w:r w:rsidRPr="00E80AEA">
        <w:rPr>
          <w:rFonts w:eastAsia="Times New Roman"/>
          <w:lang w:eastAsia="en-GB"/>
        </w:rPr>
        <w:t xml:space="preserve"> </w:t>
      </w:r>
    </w:p>
    <w:p w14:paraId="089C0801" w14:textId="679A1657" w:rsidR="00E80AEA" w:rsidRPr="00937A99" w:rsidRDefault="00E80AEA" w:rsidP="00937A99">
      <w:pPr>
        <w:spacing w:line="300" w:lineRule="auto"/>
        <w:outlineLvl w:val="1"/>
        <w:rPr>
          <w:rFonts w:ascii="Helvetica" w:eastAsia="Times New Roman" w:hAnsi="Helvetica"/>
          <w:b/>
          <w:bCs/>
          <w:color w:val="202020"/>
          <w:sz w:val="33"/>
          <w:szCs w:val="33"/>
          <w:lang w:eastAsia="en-GB"/>
        </w:rPr>
      </w:pPr>
      <w:r w:rsidRPr="00E80AEA">
        <w:rPr>
          <w:rFonts w:ascii="Helvetica" w:eastAsia="Times New Roman" w:hAnsi="Helvetica"/>
          <w:b/>
          <w:bCs/>
          <w:i/>
          <w:iCs/>
          <w:color w:val="202020"/>
          <w:sz w:val="33"/>
          <w:szCs w:val="33"/>
          <w:lang w:eastAsia="en-GB"/>
        </w:rPr>
        <w:t>Biodiversity in a Landscape Mosaic of Woodlands and Grasslands</w:t>
      </w:r>
    </w:p>
    <w:p w14:paraId="64EBC4C2" w14:textId="023425F7" w:rsidR="00E80AEA" w:rsidRPr="00E80AEA" w:rsidRDefault="00E80AEA" w:rsidP="00E80AEA">
      <w:pPr>
        <w:rPr>
          <w:rFonts w:eastAsia="Times New Roman"/>
          <w:lang w:eastAsia="en-GB"/>
        </w:rPr>
      </w:pPr>
      <w:r w:rsidRPr="00E80AEA">
        <w:rPr>
          <w:rFonts w:eastAsia="Times New Roman"/>
          <w:lang w:eastAsia="en-GB"/>
        </w:rPr>
        <w:br/>
      </w:r>
      <w:r w:rsidR="00937A99">
        <w:rPr>
          <w:rFonts w:eastAsia="Times New Roman"/>
          <w:lang w:eastAsia="en-GB"/>
        </w:rPr>
        <w:t>A</w:t>
      </w:r>
      <w:r w:rsidRPr="00E80AEA">
        <w:rPr>
          <w:rFonts w:eastAsia="Times New Roman"/>
          <w:lang w:eastAsia="en-GB"/>
        </w:rPr>
        <w:t xml:space="preserve"> mosaic of woodland and grassland patches supports a substantially higher </w:t>
      </w:r>
      <w:r w:rsidRPr="00E80AEA">
        <w:rPr>
          <w:rFonts w:eastAsia="Times New Roman"/>
          <w:noProof/>
          <w:lang w:eastAsia="en-GB"/>
        </w:rPr>
        <w:drawing>
          <wp:anchor distT="0" distB="0" distL="0" distR="0" simplePos="0" relativeHeight="251657728" behindDoc="0" locked="0" layoutInCell="1" allowOverlap="0" wp14:anchorId="3B81B15D" wp14:editId="797E217C">
            <wp:simplePos x="0" y="0"/>
            <wp:positionH relativeFrom="column">
              <wp:align>right</wp:align>
            </wp:positionH>
            <wp:positionV relativeFrom="line">
              <wp:posOffset>0</wp:posOffset>
            </wp:positionV>
            <wp:extent cx="3143250" cy="2705100"/>
            <wp:effectExtent l="0" t="0" r="6350" b="12700"/>
            <wp:wrapSquare wrapText="bothSides"/>
            <wp:docPr id="6" name="Picture 6" descr="https://mcusercontent.com/a600b220b0419533193a6ea53/images/7a170b12-98a5-0b65-e0ed-2d6c5a12b40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mcusercontent.com/a600b220b0419533193a6ea53/images/7a170b12-98a5-0b65-e0ed-2d6c5a12b40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43250" cy="2705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80AEA">
        <w:rPr>
          <w:rFonts w:eastAsia="Times New Roman"/>
          <w:lang w:eastAsia="en-GB"/>
        </w:rPr>
        <w:t>biodiversity than would occur if the region was entirely woodland or entirely grassland.</w:t>
      </w:r>
      <w:r w:rsidRPr="00E80AEA">
        <w:rPr>
          <w:rFonts w:eastAsia="Times New Roman"/>
          <w:lang w:eastAsia="en-GB"/>
        </w:rPr>
        <w:br/>
        <w:t> </w:t>
      </w:r>
    </w:p>
    <w:p w14:paraId="43E841BC" w14:textId="77777777" w:rsidR="00E80AEA" w:rsidRPr="00E80AEA" w:rsidRDefault="00E80AEA" w:rsidP="00E80AEA">
      <w:pPr>
        <w:jc w:val="right"/>
        <w:rPr>
          <w:rFonts w:eastAsia="Times New Roman"/>
          <w:lang w:eastAsia="en-GB"/>
        </w:rPr>
      </w:pPr>
      <w:r w:rsidRPr="00E80AEA">
        <w:rPr>
          <w:rFonts w:eastAsia="Times New Roman"/>
          <w:i/>
          <w:iCs/>
          <w:color w:val="0000FF"/>
          <w:lang w:eastAsia="en-GB"/>
        </w:rPr>
        <w:t>Fig. 3: As Fig. 1 but for all species types in a mosaic of wood/grasslands</w:t>
      </w:r>
      <w:r w:rsidRPr="00E80AEA">
        <w:rPr>
          <w:rFonts w:eastAsia="Times New Roman"/>
          <w:lang w:eastAsia="en-GB"/>
        </w:rPr>
        <w:br/>
        <w:t> </w:t>
      </w:r>
    </w:p>
    <w:p w14:paraId="328A8B30" w14:textId="39D2C282" w:rsidR="00937A99" w:rsidRDefault="00E80AEA" w:rsidP="00937A99">
      <w:pPr>
        <w:rPr>
          <w:rFonts w:eastAsia="Times New Roman"/>
          <w:lang w:eastAsia="en-GB"/>
        </w:rPr>
      </w:pPr>
      <w:r w:rsidRPr="00E80AEA">
        <w:rPr>
          <w:rFonts w:eastAsia="Times New Roman"/>
          <w:lang w:eastAsia="en-GB"/>
        </w:rPr>
        <w:br/>
        <w:t xml:space="preserve">Peak </w:t>
      </w:r>
      <w:r w:rsidR="00937A99">
        <w:rPr>
          <w:rFonts w:eastAsia="Times New Roman"/>
          <w:lang w:eastAsia="en-GB"/>
        </w:rPr>
        <w:t xml:space="preserve">flora </w:t>
      </w:r>
      <w:r w:rsidRPr="00E80AEA">
        <w:rPr>
          <w:rFonts w:eastAsia="Times New Roman"/>
          <w:lang w:eastAsia="en-GB"/>
        </w:rPr>
        <w:t xml:space="preserve">biodiversity occurs at the grassland edges due to all specialist and generalist species being able to overlap successfully there. </w:t>
      </w:r>
    </w:p>
    <w:p w14:paraId="16454488" w14:textId="77777777" w:rsidR="00937A99" w:rsidRDefault="00937A99" w:rsidP="00937A99">
      <w:pPr>
        <w:rPr>
          <w:rFonts w:eastAsia="Times New Roman"/>
          <w:lang w:eastAsia="en-GB"/>
        </w:rPr>
      </w:pPr>
    </w:p>
    <w:p w14:paraId="3761D644" w14:textId="5DFC031D" w:rsidR="004859B3" w:rsidRPr="00937A99" w:rsidRDefault="00E80AEA" w:rsidP="009D0D7F">
      <w:pPr>
        <w:rPr>
          <w:rFonts w:eastAsia="Times New Roman"/>
          <w:lang w:eastAsia="en-GB"/>
        </w:rPr>
      </w:pPr>
      <w:r w:rsidRPr="00E80AEA">
        <w:rPr>
          <w:rFonts w:eastAsia="Times New Roman"/>
          <w:lang w:eastAsia="en-GB"/>
        </w:rPr>
        <w:t>While flora species are used as our illustrative example</w:t>
      </w:r>
      <w:r w:rsidR="00937A99">
        <w:rPr>
          <w:rFonts w:eastAsia="Times New Roman"/>
          <w:lang w:eastAsia="en-GB"/>
        </w:rPr>
        <w:t xml:space="preserve"> here</w:t>
      </w:r>
      <w:r w:rsidRPr="00E80AEA">
        <w:rPr>
          <w:rFonts w:eastAsia="Times New Roman"/>
          <w:lang w:eastAsia="en-GB"/>
        </w:rPr>
        <w:t>, similar results are found for most species types, for example: birds (</w:t>
      </w:r>
      <w:hyperlink r:id="rId6" w:tgtFrame="_blank" w:history="1">
        <w:proofErr w:type="spellStart"/>
        <w:r w:rsidRPr="00E80AEA">
          <w:rPr>
            <w:rFonts w:eastAsia="Times New Roman"/>
            <w:color w:val="656565"/>
            <w:u w:val="single"/>
            <w:lang w:eastAsia="en-GB"/>
          </w:rPr>
          <w:t>Melin</w:t>
        </w:r>
        <w:proofErr w:type="spellEnd"/>
        <w:r w:rsidRPr="00E80AEA">
          <w:rPr>
            <w:rFonts w:eastAsia="Times New Roman"/>
            <w:color w:val="656565"/>
            <w:u w:val="single"/>
            <w:lang w:eastAsia="en-GB"/>
          </w:rPr>
          <w:t xml:space="preserve"> et al 2018)</w:t>
        </w:r>
      </w:hyperlink>
      <w:r w:rsidRPr="00E80AEA">
        <w:rPr>
          <w:rFonts w:eastAsia="Times New Roman"/>
          <w:lang w:eastAsia="en-GB"/>
        </w:rPr>
        <w:t>, bats (</w:t>
      </w:r>
      <w:hyperlink r:id="rId7" w:tgtFrame="_blank" w:history="1">
        <w:r w:rsidRPr="00E80AEA">
          <w:rPr>
            <w:rFonts w:eastAsia="Times New Roman"/>
            <w:color w:val="656565"/>
            <w:u w:val="single"/>
            <w:lang w:eastAsia="en-GB"/>
          </w:rPr>
          <w:t>Heim et al 2015</w:t>
        </w:r>
      </w:hyperlink>
      <w:r w:rsidRPr="00E80AEA">
        <w:rPr>
          <w:rFonts w:eastAsia="Times New Roman"/>
          <w:lang w:eastAsia="en-GB"/>
        </w:rPr>
        <w:t>), mammals (</w:t>
      </w:r>
      <w:hyperlink r:id="rId8" w:tgtFrame="_blank" w:history="1">
        <w:r w:rsidRPr="00E80AEA">
          <w:rPr>
            <w:rFonts w:eastAsia="Times New Roman"/>
            <w:color w:val="656565"/>
            <w:u w:val="single"/>
            <w:lang w:eastAsia="en-GB"/>
          </w:rPr>
          <w:t>Leopold 1923</w:t>
        </w:r>
      </w:hyperlink>
      <w:r w:rsidRPr="00E80AEA">
        <w:rPr>
          <w:rFonts w:eastAsia="Times New Roman"/>
          <w:lang w:eastAsia="en-GB"/>
        </w:rPr>
        <w:t xml:space="preserve">, </w:t>
      </w:r>
      <w:hyperlink r:id="rId9" w:tgtFrame="_blank" w:history="1">
        <w:r w:rsidRPr="00E80AEA">
          <w:rPr>
            <w:rFonts w:eastAsia="Times New Roman"/>
            <w:color w:val="656565"/>
            <w:u w:val="single"/>
            <w:lang w:eastAsia="en-GB"/>
          </w:rPr>
          <w:t>Wirth et al 2008</w:t>
        </w:r>
      </w:hyperlink>
      <w:r w:rsidRPr="00E80AEA">
        <w:rPr>
          <w:rFonts w:eastAsia="Times New Roman"/>
          <w:lang w:eastAsia="en-GB"/>
        </w:rPr>
        <w:t>). However, insects and arachnids display variable responses (</w:t>
      </w:r>
      <w:hyperlink r:id="rId10" w:tgtFrame="_blank" w:history="1">
        <w:proofErr w:type="spellStart"/>
        <w:r w:rsidRPr="00E80AEA">
          <w:rPr>
            <w:rFonts w:eastAsia="Times New Roman"/>
            <w:color w:val="656565"/>
            <w:u w:val="single"/>
            <w:lang w:eastAsia="en-GB"/>
          </w:rPr>
          <w:t>Guimarães</w:t>
        </w:r>
        <w:proofErr w:type="spellEnd"/>
        <w:r w:rsidRPr="00E80AEA">
          <w:rPr>
            <w:rFonts w:eastAsia="Times New Roman"/>
            <w:color w:val="656565"/>
            <w:u w:val="single"/>
            <w:lang w:eastAsia="en-GB"/>
          </w:rPr>
          <w:t xml:space="preserve"> et al 2007</w:t>
        </w:r>
      </w:hyperlink>
      <w:r w:rsidRPr="00E80AEA">
        <w:rPr>
          <w:rFonts w:eastAsia="Times New Roman"/>
          <w:lang w:eastAsia="en-GB"/>
        </w:rPr>
        <w:t xml:space="preserve">, Wirth et al 2008, </w:t>
      </w:r>
      <w:hyperlink r:id="rId11" w:tgtFrame="_blank" w:history="1">
        <w:r w:rsidRPr="00E80AEA">
          <w:rPr>
            <w:rFonts w:eastAsia="Times New Roman"/>
            <w:color w:val="656565"/>
            <w:u w:val="single"/>
            <w:lang w:eastAsia="en-GB"/>
          </w:rPr>
          <w:t>Wimp et al 2019</w:t>
        </w:r>
      </w:hyperlink>
      <w:r w:rsidRPr="00E80AEA">
        <w:rPr>
          <w:rFonts w:eastAsia="Times New Roman"/>
          <w:lang w:eastAsia="en-GB"/>
        </w:rPr>
        <w:t>).</w:t>
      </w:r>
      <w:r w:rsidRPr="00E80AEA">
        <w:rPr>
          <w:rFonts w:eastAsia="Times New Roman"/>
          <w:lang w:eastAsia="en-GB"/>
        </w:rPr>
        <w:br/>
      </w:r>
      <w:r w:rsidRPr="00E80AEA">
        <w:rPr>
          <w:rFonts w:eastAsia="Times New Roman"/>
          <w:lang w:eastAsia="en-GB"/>
        </w:rPr>
        <w:br/>
        <w:t xml:space="preserve">The review by </w:t>
      </w:r>
      <w:hyperlink r:id="rId12" w:tgtFrame="_blank" w:history="1">
        <w:r w:rsidRPr="00E80AEA">
          <w:rPr>
            <w:rFonts w:eastAsia="Times New Roman"/>
            <w:color w:val="656565"/>
            <w:u w:val="single"/>
            <w:lang w:eastAsia="en-GB"/>
          </w:rPr>
          <w:t>Bennet et al (2006</w:t>
        </w:r>
      </w:hyperlink>
      <w:r w:rsidRPr="00E80AEA">
        <w:rPr>
          <w:rFonts w:eastAsia="Times New Roman"/>
          <w:lang w:eastAsia="en-GB"/>
        </w:rPr>
        <w:t>) concluded that the greatest overall biodiversity was achieved from a heterogeneous mosaic of wooded and grassed areas across the landscape (patches of varying sizes, shapes and at various distances). However, they noted that much of the available data were from combining individual patch studies and that more landscape-scale work was required for proper understanding of this diversity.</w:t>
      </w:r>
      <w:r w:rsidRPr="00E80AEA">
        <w:rPr>
          <w:rFonts w:eastAsia="Times New Roman"/>
          <w:lang w:eastAsia="en-GB"/>
        </w:rPr>
        <w:br/>
      </w:r>
      <w:r w:rsidRPr="00E80AEA">
        <w:rPr>
          <w:rFonts w:eastAsia="Times New Roman"/>
          <w:lang w:eastAsia="en-GB"/>
        </w:rPr>
        <w:br/>
        <w:t xml:space="preserve">Further, </w:t>
      </w:r>
      <w:hyperlink r:id="rId13" w:tgtFrame="_blank" w:history="1">
        <w:r w:rsidRPr="00E80AEA">
          <w:rPr>
            <w:rFonts w:eastAsia="Times New Roman"/>
            <w:color w:val="656565"/>
            <w:u w:val="single"/>
            <w:lang w:eastAsia="en-GB"/>
          </w:rPr>
          <w:t>Radford et al (2004)</w:t>
        </w:r>
      </w:hyperlink>
      <w:r w:rsidRPr="00E80AEA">
        <w:rPr>
          <w:rFonts w:eastAsia="Times New Roman"/>
          <w:lang w:eastAsia="en-GB"/>
        </w:rPr>
        <w:t xml:space="preserve"> and </w:t>
      </w:r>
      <w:hyperlink r:id="rId14" w:tgtFrame="_blank" w:history="1">
        <w:r w:rsidRPr="00E80AEA">
          <w:rPr>
            <w:rFonts w:eastAsia="Times New Roman"/>
            <w:color w:val="656565"/>
            <w:u w:val="single"/>
            <w:lang w:eastAsia="en-GB"/>
          </w:rPr>
          <w:t>Lindenmayer et al (2012)</w:t>
        </w:r>
      </w:hyperlink>
      <w:r w:rsidRPr="00E80AEA">
        <w:rPr>
          <w:rFonts w:eastAsia="Times New Roman"/>
          <w:lang w:eastAsia="en-GB"/>
        </w:rPr>
        <w:t xml:space="preserve"> note broadly similar results for bird species and some non-avian species in eastern Australian landscape mosaics.</w:t>
      </w:r>
      <w:r w:rsidRPr="00E80AEA">
        <w:rPr>
          <w:rFonts w:eastAsia="Times New Roman"/>
          <w:lang w:eastAsia="en-GB"/>
        </w:rPr>
        <w:br/>
      </w:r>
      <w:r w:rsidRPr="00E80AEA">
        <w:rPr>
          <w:rFonts w:eastAsia="Times New Roman"/>
          <w:lang w:eastAsia="en-GB"/>
        </w:rPr>
        <w:br/>
        <w:t>These results stand for practically all mosaic systems, not just grass and bush. For example, the coastal regions of oceans and other major water bodies typically are far more biodiverse than that found in the deeps or further inland.</w:t>
      </w:r>
      <w:r w:rsidRPr="00E80AEA">
        <w:rPr>
          <w:rFonts w:eastAsia="Times New Roman"/>
          <w:lang w:eastAsia="en-GB"/>
        </w:rPr>
        <w:br/>
      </w:r>
      <w:r w:rsidRPr="00E80AEA">
        <w:rPr>
          <w:rFonts w:eastAsia="Times New Roman"/>
          <w:lang w:eastAsia="en-GB"/>
        </w:rPr>
        <w:br/>
      </w:r>
      <w:r w:rsidRPr="00E80AEA">
        <w:rPr>
          <w:rFonts w:eastAsia="Times New Roman"/>
          <w:b/>
          <w:bCs/>
          <w:sz w:val="30"/>
          <w:szCs w:val="30"/>
          <w:lang w:eastAsia="en-GB"/>
        </w:rPr>
        <w:t>Comments and Issues</w:t>
      </w:r>
      <w:r w:rsidRPr="00E80AEA">
        <w:rPr>
          <w:rFonts w:eastAsia="Times New Roman"/>
          <w:lang w:eastAsia="en-GB"/>
        </w:rPr>
        <w:br/>
        <w:t> </w:t>
      </w:r>
      <w:r w:rsidRPr="00E80AEA">
        <w:rPr>
          <w:rFonts w:eastAsia="Times New Roman"/>
          <w:lang w:eastAsia="en-GB"/>
        </w:rPr>
        <w:br/>
        <w:t>The importance of components within the woodland or grassland are rarely discussed. Yet it is well known that a woodland, for example, is not homogeneous. Wander through Greens Bush and you will find a wide range of habitats, some on a scale of just a few tens of metres. The sandy rises are relatively uniform, with their dominant messmate and peppermint gum overstory a</w:t>
      </w:r>
      <w:r w:rsidR="00937A99">
        <w:rPr>
          <w:rFonts w:eastAsia="Times New Roman"/>
          <w:lang w:eastAsia="en-GB"/>
        </w:rPr>
        <w:t>nd characteristic understory di</w:t>
      </w:r>
      <w:r w:rsidRPr="00E80AEA">
        <w:rPr>
          <w:rFonts w:eastAsia="Times New Roman"/>
          <w:lang w:eastAsia="en-GB"/>
        </w:rPr>
        <w:t xml:space="preserve">versity. Drop into a moist gully and the environment changes rapidly to extensive ferns with an overstory of acacias, paperbarks and others. Traipse into upper Lightwood Creek and you could be </w:t>
      </w:r>
      <w:proofErr w:type="spellStart"/>
      <w:proofErr w:type="gramStart"/>
      <w:r w:rsidRPr="00E80AEA">
        <w:rPr>
          <w:rFonts w:eastAsia="Times New Roman"/>
          <w:lang w:eastAsia="en-GB"/>
        </w:rPr>
        <w:t>be</w:t>
      </w:r>
      <w:proofErr w:type="spellEnd"/>
      <w:proofErr w:type="gramEnd"/>
      <w:r w:rsidRPr="00E80AEA">
        <w:rPr>
          <w:rFonts w:eastAsia="Times New Roman"/>
          <w:lang w:eastAsia="en-GB"/>
        </w:rPr>
        <w:t xml:space="preserve"> halted by a near-impenetrable barrier of tangled coral ferns. On strolling along the main track you may find </w:t>
      </w:r>
      <w:r w:rsidRPr="00E80AEA">
        <w:rPr>
          <w:rFonts w:eastAsia="Times New Roman"/>
          <w:lang w:eastAsia="en-GB"/>
        </w:rPr>
        <w:lastRenderedPageBreak/>
        <w:t>yourself suddenly in a wonderland of grass trees.</w:t>
      </w:r>
      <w:r w:rsidRPr="00E80AEA">
        <w:rPr>
          <w:rFonts w:eastAsia="Times New Roman"/>
          <w:lang w:eastAsia="en-GB"/>
        </w:rPr>
        <w:br/>
        <w:t> </w:t>
      </w:r>
      <w:r w:rsidRPr="00E80AEA">
        <w:rPr>
          <w:rFonts w:eastAsia="Times New Roman"/>
          <w:lang w:eastAsia="en-GB"/>
        </w:rPr>
        <w:br/>
        <w:t>Each of these microhabitats have their own characteristic s</w:t>
      </w:r>
      <w:r w:rsidR="00937A99">
        <w:rPr>
          <w:rFonts w:eastAsia="Times New Roman"/>
          <w:lang w:eastAsia="en-GB"/>
        </w:rPr>
        <w:t>pecies. Taken together, they con</w:t>
      </w:r>
      <w:r w:rsidRPr="00E80AEA">
        <w:rPr>
          <w:rFonts w:eastAsia="Times New Roman"/>
          <w:lang w:eastAsia="en-GB"/>
        </w:rPr>
        <w:t>tribute a substant</w:t>
      </w:r>
      <w:r w:rsidR="00937A99">
        <w:rPr>
          <w:rFonts w:eastAsia="Times New Roman"/>
          <w:lang w:eastAsia="en-GB"/>
        </w:rPr>
        <w:t>ial biodiversity to the landscap</w:t>
      </w:r>
      <w:r w:rsidRPr="00E80AEA">
        <w:rPr>
          <w:rFonts w:eastAsia="Times New Roman"/>
          <w:lang w:eastAsia="en-GB"/>
        </w:rPr>
        <w:t>e. Remove some and the net diversity of the region is compromised.</w:t>
      </w:r>
      <w:r w:rsidRPr="00E80AEA">
        <w:rPr>
          <w:rFonts w:eastAsia="Times New Roman"/>
          <w:lang w:eastAsia="en-GB"/>
        </w:rPr>
        <w:br/>
        <w:t> </w:t>
      </w:r>
      <w:r w:rsidRPr="00E80AEA">
        <w:rPr>
          <w:rFonts w:eastAsia="Times New Roman"/>
          <w:lang w:eastAsia="en-GB"/>
        </w:rPr>
        <w:br/>
        <w:t>In other words, although our mosaic of bush and grassland can reasonably be expected to be providing substantial biodiversity, there are as yet unknown aspects of mosaic composition and variability within individual members, which mean that we may be able to do better than we have achieved from our essentially random mosaic generation.</w:t>
      </w:r>
      <w:r w:rsidRPr="00E80AEA">
        <w:rPr>
          <w:rFonts w:eastAsia="Times New Roman"/>
          <w:lang w:eastAsia="en-GB"/>
        </w:rPr>
        <w:br/>
        <w:t> </w:t>
      </w:r>
      <w:r w:rsidRPr="00E80AEA">
        <w:rPr>
          <w:rFonts w:eastAsia="Times New Roman"/>
          <w:lang w:eastAsia="en-GB"/>
        </w:rPr>
        <w:br/>
        <w:t xml:space="preserve">Regardless, there are many things we can, and should be doing, to maximise what we have.  </w:t>
      </w:r>
      <w:r w:rsidRPr="00E80AEA">
        <w:br/>
      </w:r>
      <w:bookmarkStart w:id="0" w:name="_GoBack"/>
      <w:bookmarkEnd w:id="0"/>
    </w:p>
    <w:sectPr w:rsidR="004859B3" w:rsidRPr="00937A99" w:rsidSect="00D23A8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8A7E28"/>
    <w:multiLevelType w:val="multilevel"/>
    <w:tmpl w:val="23061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9E173D"/>
    <w:multiLevelType w:val="multilevel"/>
    <w:tmpl w:val="7C204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5D5409A"/>
    <w:multiLevelType w:val="multilevel"/>
    <w:tmpl w:val="116A7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F386C49"/>
    <w:multiLevelType w:val="multilevel"/>
    <w:tmpl w:val="EEB2C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BE352F0"/>
    <w:multiLevelType w:val="multilevel"/>
    <w:tmpl w:val="F9640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352738C"/>
    <w:multiLevelType w:val="multilevel"/>
    <w:tmpl w:val="479CA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5E4787E"/>
    <w:multiLevelType w:val="multilevel"/>
    <w:tmpl w:val="B7222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DC66BE2"/>
    <w:multiLevelType w:val="multilevel"/>
    <w:tmpl w:val="3C64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4"/>
  </w:num>
  <w:num w:numId="4">
    <w:abstractNumId w:val="2"/>
  </w:num>
  <w:num w:numId="5">
    <w:abstractNumId w:val="7"/>
  </w:num>
  <w:num w:numId="6">
    <w:abstractNumId w:val="5"/>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AEA"/>
    <w:rsid w:val="0006459E"/>
    <w:rsid w:val="00066A59"/>
    <w:rsid w:val="00070570"/>
    <w:rsid w:val="0007505D"/>
    <w:rsid w:val="001125EF"/>
    <w:rsid w:val="001F5E25"/>
    <w:rsid w:val="0026666A"/>
    <w:rsid w:val="002A5270"/>
    <w:rsid w:val="003B140C"/>
    <w:rsid w:val="004830D3"/>
    <w:rsid w:val="004D4025"/>
    <w:rsid w:val="004E0F4B"/>
    <w:rsid w:val="004F4DC0"/>
    <w:rsid w:val="005D61E8"/>
    <w:rsid w:val="006216C5"/>
    <w:rsid w:val="00631122"/>
    <w:rsid w:val="00712706"/>
    <w:rsid w:val="007216C0"/>
    <w:rsid w:val="008072E7"/>
    <w:rsid w:val="00837E4A"/>
    <w:rsid w:val="00864C11"/>
    <w:rsid w:val="008709A1"/>
    <w:rsid w:val="008A4860"/>
    <w:rsid w:val="00937A99"/>
    <w:rsid w:val="0094313B"/>
    <w:rsid w:val="00992903"/>
    <w:rsid w:val="009A6F2E"/>
    <w:rsid w:val="009B1343"/>
    <w:rsid w:val="009D0D7F"/>
    <w:rsid w:val="009E4393"/>
    <w:rsid w:val="00A249FB"/>
    <w:rsid w:val="00A70689"/>
    <w:rsid w:val="00A8345E"/>
    <w:rsid w:val="00AB40A8"/>
    <w:rsid w:val="00B373E6"/>
    <w:rsid w:val="00BD580A"/>
    <w:rsid w:val="00C51ACC"/>
    <w:rsid w:val="00CF2766"/>
    <w:rsid w:val="00D23A87"/>
    <w:rsid w:val="00D64252"/>
    <w:rsid w:val="00DA7C36"/>
    <w:rsid w:val="00E80AEA"/>
    <w:rsid w:val="00E87344"/>
    <w:rsid w:val="00E9334E"/>
    <w:rsid w:val="00EF3C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0022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E80AEA"/>
    <w:pPr>
      <w:spacing w:before="100" w:beforeAutospacing="1" w:after="100" w:afterAutospacing="1"/>
      <w:outlineLvl w:val="0"/>
    </w:pPr>
    <w:rPr>
      <w:b/>
      <w:bCs/>
      <w:kern w:val="36"/>
      <w:sz w:val="48"/>
      <w:szCs w:val="48"/>
      <w:lang w:eastAsia="en-GB"/>
    </w:rPr>
  </w:style>
  <w:style w:type="paragraph" w:styleId="Heading2">
    <w:name w:val="heading 2"/>
    <w:basedOn w:val="Normal"/>
    <w:link w:val="Heading2Char"/>
    <w:uiPriority w:val="9"/>
    <w:qFormat/>
    <w:rsid w:val="00E80AEA"/>
    <w:pPr>
      <w:spacing w:before="100" w:beforeAutospacing="1" w:after="100" w:afterAutospacing="1"/>
      <w:outlineLvl w:val="1"/>
    </w:pPr>
    <w:rPr>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0AEA"/>
    <w:rPr>
      <w:b/>
      <w:bCs/>
      <w:kern w:val="36"/>
      <w:sz w:val="48"/>
      <w:szCs w:val="48"/>
      <w:lang w:eastAsia="en-GB"/>
    </w:rPr>
  </w:style>
  <w:style w:type="character" w:customStyle="1" w:styleId="Heading2Char">
    <w:name w:val="Heading 2 Char"/>
    <w:basedOn w:val="DefaultParagraphFont"/>
    <w:link w:val="Heading2"/>
    <w:uiPriority w:val="9"/>
    <w:rsid w:val="00E80AEA"/>
    <w:rPr>
      <w:b/>
      <w:bCs/>
      <w:sz w:val="36"/>
      <w:szCs w:val="36"/>
      <w:lang w:eastAsia="en-GB"/>
    </w:rPr>
  </w:style>
  <w:style w:type="character" w:styleId="Emphasis">
    <w:name w:val="Emphasis"/>
    <w:basedOn w:val="DefaultParagraphFont"/>
    <w:uiPriority w:val="20"/>
    <w:qFormat/>
    <w:rsid w:val="00E80AEA"/>
    <w:rPr>
      <w:i/>
      <w:iCs/>
    </w:rPr>
  </w:style>
  <w:style w:type="character" w:styleId="Hyperlink">
    <w:name w:val="Hyperlink"/>
    <w:basedOn w:val="DefaultParagraphFont"/>
    <w:uiPriority w:val="99"/>
    <w:semiHidden/>
    <w:unhideWhenUsed/>
    <w:rsid w:val="00E80AEA"/>
    <w:rPr>
      <w:color w:val="0000FF"/>
      <w:u w:val="single"/>
    </w:rPr>
  </w:style>
  <w:style w:type="character" w:styleId="Strong">
    <w:name w:val="Strong"/>
    <w:basedOn w:val="DefaultParagraphFont"/>
    <w:uiPriority w:val="22"/>
    <w:qFormat/>
    <w:rsid w:val="00E80AEA"/>
    <w:rPr>
      <w:b/>
      <w:bCs/>
    </w:rPr>
  </w:style>
  <w:style w:type="paragraph" w:styleId="DocumentMap">
    <w:name w:val="Document Map"/>
    <w:basedOn w:val="Normal"/>
    <w:link w:val="DocumentMapChar"/>
    <w:uiPriority w:val="99"/>
    <w:semiHidden/>
    <w:unhideWhenUsed/>
    <w:rsid w:val="00937A99"/>
  </w:style>
  <w:style w:type="character" w:customStyle="1" w:styleId="DocumentMapChar">
    <w:name w:val="Document Map Char"/>
    <w:basedOn w:val="DefaultParagraphFont"/>
    <w:link w:val="DocumentMap"/>
    <w:uiPriority w:val="99"/>
    <w:semiHidden/>
    <w:rsid w:val="00937A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497117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s://www.researchgate.net/publication/332600408_Habitat_edge_responses_of_generalist_predators_are_predicted_by_prey_and_structural_resources" TargetMode="External"/><Relationship Id="rId12" Type="http://schemas.openxmlformats.org/officeDocument/2006/relationships/hyperlink" Target="https://www.researchgate.net/publication/222690029_Properties_of_Land_Mosaics_Implications_for_Nature_Conservation_in_Agricultural_Environments" TargetMode="External"/><Relationship Id="rId13" Type="http://schemas.openxmlformats.org/officeDocument/2006/relationships/hyperlink" Target="https://dro.deakin.edu.au/eserv/DU:30015303/radford-howmuch-2004.pdf" TargetMode="External"/><Relationship Id="rId14" Type="http://schemas.openxmlformats.org/officeDocument/2006/relationships/hyperlink" Target="https://journals.plos.org/plosone/article?id=10.1371/journal.pone.0034527"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s://www.researchgate.net/publication/324030821_Living_on_the_edge_-_utilising_lidar_data_to_assess_the_importance_of_vegetation_structure_for_avian_diversity_in_fragmented_woodlands_and_their_edges" TargetMode="External"/><Relationship Id="rId7" Type="http://schemas.openxmlformats.org/officeDocument/2006/relationships/hyperlink" Target="https://www.researchgate.net/publication/280610694_The_Importance_of_Landscape_Elements_for_Bat_Activity_and_Species_Richness_in_Agricultural_Areas" TargetMode="External"/><Relationship Id="rId8" Type="http://schemas.openxmlformats.org/officeDocument/2006/relationships/hyperlink" Target="https://www.google.com/search?client=firefox-b-d&amp;q=+ISBN-13%3A+978-0299107741+" TargetMode="External"/><Relationship Id="rId9" Type="http://schemas.openxmlformats.org/officeDocument/2006/relationships/hyperlink" Target="https://www.researchgate.net/publication/225846323_Plant_Herbivore_Interactions_at_the_Forest_Edge" TargetMode="External"/><Relationship Id="rId10" Type="http://schemas.openxmlformats.org/officeDocument/2006/relationships/hyperlink" Target="https://www.researchgate.net/publication/261289812_A_Meta-Analysis_of_the_Effects_of_Fragmentation_on_Herbivorous_Insec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653</Words>
  <Characters>3728</Characters>
  <Application>Microsoft Macintosh Word</Application>
  <DocSecurity>0</DocSecurity>
  <Lines>31</Lines>
  <Paragraphs>8</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Biodiversity in a Landscape Mosaic of Woodlands and Grasslands</vt:lpstr>
    </vt:vector>
  </TitlesOfParts>
  <LinksUpToDate>false</LinksUpToDate>
  <CharactersWithSpaces>4373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Holland</dc:creator>
  <cp:keywords/>
  <dc:description/>
  <cp:lastModifiedBy>Greg Holland</cp:lastModifiedBy>
  <cp:revision>3</cp:revision>
  <dcterms:created xsi:type="dcterms:W3CDTF">2022-01-12T23:30:00Z</dcterms:created>
  <dcterms:modified xsi:type="dcterms:W3CDTF">2022-01-12T23:41:00Z</dcterms:modified>
</cp:coreProperties>
</file>